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Стоматология (ПП)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Стоматология (ПП) | Записей: 1 | Кейс: 1 | Вопросов: 12</w:t>
      </w:r>
    </w:p>
    <w:p>
      <w:r>
        <w:br w:type="page"/>
      </w:r>
    </w:p>
    <w:p>
      <w:pPr>
        <w:pStyle w:val="Heading1"/>
      </w:pPr>
      <w:r>
        <w:t>Стоматология (ПП)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приём к врачу-стоматологу обратился пациент 14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появление пятен на зубах.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Четыре месяца назад на зубах верхней и нижней челюстей врачом-ортодонтом установлены брекет-системы.</w:t>
        <w:br/>
        <w:t>Впервые жалобы появились около 2 месяцев назад. Пациент чистит зубы горизонтальными движениями 2 раза в день мягкой зубной щёткой с щетиной ровной подстрижки и фторидсодержащей зубной пастой в течение 1 минуты.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Наследственность: не отягощена.</w:t>
      </w:r>
    </w:p>
    <w:p>
      <w:pPr>
        <w:spacing w:after="58"/>
      </w:pPr>
      <w:r>
        <w:rPr>
          <w:b w:val="0"/>
          <w:i w:val="0"/>
        </w:rPr>
        <w:t>* Аллергоанамнез: не отягощён.</w:t>
      </w:r>
    </w:p>
    <w:p>
      <w:pPr>
        <w:spacing w:after="58"/>
      </w:pPr>
      <w:r>
        <w:rPr>
          <w:b w:val="0"/>
          <w:i w:val="0"/>
        </w:rPr>
        <w:t>* Туберкулёз, гепатит, ВИЧ: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 челюстно-лицевой области:* конфигурация лица не изменена, регионарные лимфатические узлы не пальпируются, открывание рта свободное, височно-нижнечелюстной сустав без патологии.</w:t>
      </w:r>
    </w:p>
    <w:p>
      <w:pPr>
        <w:spacing w:after="58"/>
      </w:pPr>
      <w:r>
        <w:rPr>
          <w:b w:val="0"/>
          <w:i w:val="0"/>
        </w:rPr>
        <w:t>*Осмотр полости рта:*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>
        <w:tc>
          <w:tcPr>
            <w:tcW w:type="dxa" w:w="682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682"/>
          </w:tcPr>
          <w:p>
            <w:r>
              <w:rPr>
                <w:b/>
                <w:i w:val="0"/>
              </w:rPr>
              <w:t>П</w:t>
            </w:r>
          </w:p>
        </w:tc>
        <w:tc>
          <w:tcPr>
            <w:tcW w:type="dxa" w:w="682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682"/>
          </w:tcPr>
          <w:p>
            <w:r>
              <w:rPr>
                <w:b/>
                <w:i w:val="0"/>
              </w:rPr>
              <w:t>?</w:t>
            </w:r>
          </w:p>
        </w:tc>
        <w:tc>
          <w:tcPr>
            <w:tcW w:type="dxa" w:w="682"/>
          </w:tcPr>
          <w:p/>
        </w:tc>
        <w:tc>
          <w:tcPr>
            <w:tcW w:type="dxa" w:w="682"/>
          </w:tcPr>
          <w:p>
            <w:r>
              <w:rPr>
                <w:b/>
                <w:i w:val="0"/>
              </w:rPr>
              <w:t>?</w:t>
            </w:r>
          </w:p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>
            <w:r>
              <w:rPr>
                <w:b/>
                <w:i w:val="0"/>
              </w:rPr>
              <w:t>1.8</w:t>
            </w:r>
          </w:p>
        </w:tc>
      </w:tr>
      <w:tr>
        <w:tc>
          <w:tcPr>
            <w:tcW w:type="dxa" w:w="682"/>
          </w:tcPr>
          <w:p>
            <w:r>
              <w:rPr>
                <w:b w:val="0"/>
                <w:i w:val="0"/>
              </w:rPr>
              <w:t>1.7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1.6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1.2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2.6|2.7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2.8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4.8|4.7</w:t>
            </w:r>
          </w:p>
        </w:tc>
      </w:tr>
      <w:tr>
        <w:tc>
          <w:tcPr>
            <w:tcW w:type="dxa" w:w="682"/>
          </w:tcPr>
          <w:p>
            <w:r>
              <w:rPr>
                <w:b w:val="0"/>
                <w:i w:val="0"/>
              </w:rPr>
              <w:t>4.6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3.8</w:t>
            </w:r>
          </w:p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П|</w:t>
            </w:r>
          </w:p>
        </w:tc>
      </w:tr>
      <w:tr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>
            <w:r>
              <w:rPr>
                <w:b w:val="0"/>
                <w:i w:val="0"/>
              </w:rPr>
              <w:t>П||</w:t>
            </w:r>
          </w:p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  <w:tc>
          <w:tcPr>
            <w:tcW w:type="dxa" w:w="682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|===</w:t>
      </w:r>
    </w:p>
    <w:p>
      <w:pPr>
        <w:spacing w:after="58"/>
      </w:pPr>
      <w:r>
        <w:rPr>
          <w:b w:val="0"/>
          <w:i w:val="0"/>
        </w:rPr>
        <w:t>При осмотре полости рта выявляется мягкий зубной налет в области фиксации брекетов, пришеечной области, межзубных промежутках. После удаления зубного налета на 1.1, 1.3, 4.1, 4.2, 4.3, 4.4 зубах в пришеечной области визуализируются меловидные пятна, блеск эмали в области очагов поражения отсутствует.</w:t>
        <w:br/>
        <w:t>Слизистая оболочка рта бледно-розового цвета, равномерно увлажнена. Папиллярная и маргинальная десна на верхней и нижней челюстях гиперемирована, отечна.</w:t>
      </w:r>
    </w:p>
    <w:p>
      <w:pPr>
        <w:spacing w:after="58"/>
      </w:pPr>
      <w:r>
        <w:rPr>
          <w:b w:val="0"/>
          <w:i w:val="0"/>
        </w:rPr>
        <w:t>*Гигиеническое состояние полости рта:* неудовлетворительное.</w:t>
      </w:r>
    </w:p>
    <w:p>
      <w:r>
        <w:drawing>
          <wp:inline xmlns:a="http://schemas.openxmlformats.org/drawingml/2006/main" xmlns:pic="http://schemas.openxmlformats.org/drawingml/2006/picture">
            <wp:extent cx="5303520" cy="359826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9c5bd71ee7c6edd6b7cbef91dd30b9807812ae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59826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борчалинская_30.04.12.2018 рис 1.jpg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клиническому методу обследования твердых тканей зубов, обязательному для постановки диагноза в данной клинической ситуации,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девитальное окрашивание твёрдых тканей зубов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витальное окрашивание твёрдых тканей зубов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пародонтальных индексов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прицельную внутриротовую контактную рентгенографию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витальное окрашивание твёрдых тканей зубов</w:t>
      </w:r>
    </w:p>
    <w:p>
      <w:pPr>
        <w:ind w:left="504"/>
      </w:pPr>
      <w:r>
        <w:rPr>
          <w:b w:val="0"/>
          <w:i/>
        </w:rPr>
        <w:t>Витальное окрашивание твердых тканей зуба. В трудных для дифференциальной диагностики с некариозными поражениями случаях окрашивают очаг поражения.</w:t>
        <w:br/>
        <w:br/>
        <w:t>Требования к диагностике амбулаторно-поликлинической:</w:t>
        <w:br/>
        <w:t>(Код А12.07.001) Витальное окрашивание твердых тканей зуба, кратность выполнения – согласно алгоритму.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6.1.3. Требования к диагностике амбулаторно-поликлинической</w:t>
      </w:r>
    </w:p>
    <w:p>
      <w:pPr>
        <w:pStyle w:val="Heading2"/>
      </w:pPr>
      <w:r>
        <w:t>3. Результаты клинического метода обследования</w:t>
      </w:r>
    </w:p>
    <w:p>
      <w:pPr>
        <w:pStyle w:val="Heading3"/>
      </w:pPr>
      <w:r>
        <w:t>3.1. Витальное окрашивание твёрдых тканей зубов</w:t>
      </w:r>
    </w:p>
    <w:p>
      <w:pPr>
        <w:spacing w:after="58"/>
      </w:pPr>
      <w:r>
        <w:rPr>
          <w:b w:val="0"/>
          <w:i w:val="0"/>
        </w:rPr>
        <w:t>Окрашивание очагов деминерализации эмали (пятен) в различные оттенки синего цвета.</w:t>
      </w:r>
    </w:p>
    <w:p>
      <w:pPr>
        <w:pStyle w:val="Heading3"/>
      </w:pPr>
      <w:r>
        <w:t>3.3. Прицельная внутриротовая контактная рентгенография</w:t>
      </w:r>
    </w:p>
    <w:p>
      <w:pPr>
        <w:spacing w:after="58"/>
      </w:pPr>
      <w:r>
        <w:rPr>
          <w:b w:val="0"/>
          <w:i w:val="0"/>
        </w:rPr>
        <w:t>Метод обследования не является обязательным для постановки диагноза в данной клинической ситуации.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дополнительным методам обследования твердых тканей зубов для постановки диагноза в данной клинической ситуации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люминесцентную стоматоскопию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осмотр полости рта с помощью дополнительных инструментов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степени патологической подвижности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контрастную рентгенографию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определение индексов гигиены полости рта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волоконно-оптическую трансиллюминацию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люминесцентную стоматоскопию; волоконно-оптическую трансиллюминацию</w:t>
      </w:r>
    </w:p>
    <w:p>
      <w:pPr>
        <w:ind w:left="504"/>
      </w:pPr>
      <w:r>
        <w:rPr>
          <w:b w:val="0"/>
          <w:i/>
        </w:rPr>
        <w:t>Для подтверждения диагноза может применяться люминесцентная стоматоскопия.</w:t>
        <w:br/>
        <w:br/>
        <w:t>Требования к диагностике амбулаторно-поликлинической:</w:t>
        <w:br/>
        <w:t>(Код А03.07.001) Люминесцентная стоматоскопия, кратность выполнения – по потребности.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6.1.3. Требования к диагностике амбулаторно-поликлинической</w:t>
      </w:r>
    </w:p>
    <w:p>
      <w:pPr>
        <w:ind w:left="504"/>
      </w:pPr>
      <w:r>
        <w:rPr>
          <w:b w:val="0"/>
          <w:i/>
        </w:rPr>
        <w:t>Для подтверждения диагноза может применяться метод волоконно-оптической трансиллюминации, основанный на разнице коэффициента преломления света в интактных и пораженных тканях зуба вследствие различной плотности.</w:t>
        <w:br/>
        <w:br/>
        <w:t>Требования к диагностике амбулаторно-поликлинической:</w:t>
        <w:br/>
        <w:t>(Код А03.07.003) Диагностика состояния зубочелюстной системы с помощью методов и средств лучевой визуализации, кратность выполнения – по потребности.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6.1.3. Требования к диагностике амбулаторно-поликлинической</w:t>
      </w:r>
    </w:p>
    <w:p>
      <w:pPr>
        <w:pStyle w:val="Heading2"/>
      </w:pPr>
      <w:r>
        <w:t>5. Результаты дополнительных методов обследования</w:t>
      </w:r>
    </w:p>
    <w:p>
      <w:pPr>
        <w:pStyle w:val="Heading3"/>
      </w:pPr>
      <w:r>
        <w:t>5.1. Люминесцентная стоматоскопия</w:t>
      </w:r>
    </w:p>
    <w:p>
      <w:pPr>
        <w:spacing w:after="58"/>
      </w:pPr>
      <w:r>
        <w:rPr>
          <w:b w:val="0"/>
          <w:i w:val="0"/>
        </w:rPr>
        <w:t>Интактная эмаль светится голубым светом, а при начальном кариесе в области пятна (очага деминерализации) происходит гашение люминесценции на фоне свечения неповреждённой эмали.</w:t>
      </w:r>
    </w:p>
    <w:p>
      <w:pPr>
        <w:pStyle w:val="Heading3"/>
      </w:pPr>
      <w:r>
        <w:t>5.2. Волоконно-оптическая трансиллюминация</w:t>
      </w:r>
    </w:p>
    <w:p>
      <w:pPr>
        <w:spacing w:after="58"/>
      </w:pPr>
      <w:r>
        <w:rPr>
          <w:b w:val="0"/>
          <w:i w:val="0"/>
        </w:rPr>
        <w:t>При кариозном поражении наблюдается гашение свечения вследствие изменения оптической плотности просвечиваемых тканей.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Клиническая картина патологии твердых тканей 1.1, 1.3, 4.1, 4.2, 4.3, 4.4 зубов соответствует диагнозу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Кариес эмали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Нарушения формирования зубов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Кариес цемента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Крапчатые зубы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Кариес эмали</w:t>
      </w:r>
    </w:p>
    <w:p>
      <w:pPr>
        <w:ind w:left="504"/>
      </w:pPr>
      <w:r>
        <w:rPr>
          <w:b w:val="0"/>
          <w:i/>
        </w:rPr>
        <w:t>Условия задачи соответствует критериям и признакам, определяющим модель пациента «КАРИЕС ЭМАЛИ».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 Модель пациента, п. 6.1.1 Критерии и признаки, определяющие модель пациента</w:t>
      </w:r>
    </w:p>
    <w:p>
      <w:pPr>
        <w:pStyle w:val="Heading2"/>
      </w:pPr>
      <w:r>
        <w:t>7. Диагноз</w:t>
      </w:r>
    </w:p>
    <w:p>
      <w:pPr>
        <w:spacing w:after="58"/>
      </w:pPr>
      <w:r>
        <w:rPr>
          <w:b w:val="0"/>
          <w:i w:val="0"/>
        </w:rPr>
        <w:t>К02.0 Кариес эмали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Стадия развития патологического процесса 1.1, 1.3, 4.1, 4.2, 4.3, 4.4 зубов соответствует кариесу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приостановившемуся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развившемуся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стабильному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начальному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начальному</w:t>
      </w:r>
    </w:p>
    <w:p>
      <w:pPr>
        <w:ind w:left="504"/>
      </w:pPr>
      <w:r>
        <w:rPr>
          <w:b w:val="0"/>
          <w:i/>
        </w:rPr>
        <w:t>Нозологическая форма: кариес эмали. +</w:t>
        <w:br/>
        <w:t>Стадия: стадия «белого (мелового) пятна» (начальный кариес). +</w:t>
        <w:br/>
        <w:t>Фаза: стабилизация процесса. +</w:t>
        <w:br/>
        <w:t>Осложнение: без осложнений.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 Модель пациента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данной клинической ситуации для проведения индивидуальной гигиены полости рта пациенту рекомендуется использовать зубную щётку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циркулярную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стандартную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профессиональную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ортодонтическую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ортодонтическую</w:t>
      </w:r>
    </w:p>
    <w:p>
      <w:pPr>
        <w:ind w:left="504"/>
      </w:pPr>
      <w:r>
        <w:rPr>
          <w:b w:val="0"/>
          <w:i/>
        </w:rPr>
        <w:t>При наличии у пациента в полости рта брекет-систем рекомендованы: зубная щетка ортодонтическая средней жесткости, противокариозные и противовоспалительные зубные пасты (чередование), зубные ершики, монопучковые щетки, зубные нити (флоссы), ополаскиватели с противокариозными и противовоспалительными компонентами, ирригаторы.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Приложение № 2. Общие рекомендации по подбору средств гигиены в зависимости от стоматологического статуса пациента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данной клинической ситуации пациенту рекомендовано использовать суперфлоссы для очищения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поверхности брекетов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под дугой брекет-системы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ямок на зубах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фиссур зубов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под дугой брекет-системы</w:t>
      </w:r>
    </w:p>
    <w:p>
      <w:pPr>
        <w:ind w:left="504"/>
      </w:pPr>
      <w:r>
        <w:rPr>
          <w:b w:val="0"/>
          <w:i/>
        </w:rPr>
        <w:t>Комплекс ежедневного гигиенического ухода за полостью рта у пациентов с несъёмными ортодонтическими конструкциями (брекеты) включает следующие мероприятия: чистку зубов с помощью мануальной ортодонтической зубной щётки с V-образной подстрижкой рабочего щёточного поля, позволяющую максимально эффективно очищать поверхности зубов и брекетов, использование межзубных ёршиков и суперфлоссов для очищения пространств под дугой брекет-системы.</w:t>
        <w:br/>
        <w:br/>
        <w:t>Детская стоматология: учебник / под ред. Янушевича О. О., Кисельниковой Л. П., Топольницкого О. З. – Москва : ГЭОТАР-Медиа, 2020. – С. 393-398.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данной клинической ситуации регулярное проведение профессиональной гигиены рта предотвращает развитие +_____+ заболеваний пародонта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идиопатических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воспалительных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дистрофических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опухолевых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воспалительных</w:t>
      </w:r>
    </w:p>
    <w:p>
      <w:pPr>
        <w:ind w:left="504"/>
      </w:pPr>
      <w:r>
        <w:rPr>
          <w:b w:val="0"/>
          <w:i/>
        </w:rPr>
        <w:t>Профессиональная гигиена полости рта включает удаление с поверхности зуба над- и поддесневых зубных отложений и позволяет предотвратить развитие кариеса зубов и воспалительных заболеваний пародонта (уровень убедительности доказательств А).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6.1.6. Характеристика алгоритмов и особенностей выполнения немедикаментозной помощи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данной клинической ситуации при кариесе эмали пациенту рекомендовано применение ополаскивателей для полости рта, содержащих соли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магния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калия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стронция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фтора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фтора</w:t>
      </w:r>
    </w:p>
    <w:p>
      <w:pPr>
        <w:ind w:left="504"/>
      </w:pPr>
      <w:r>
        <w:rPr>
          <w:b w:val="0"/>
          <w:i/>
        </w:rPr>
        <w:t>Зубная щётка мягкая или средней жёсткости, противокариозные зубные пасты – фторид- и кальцийсодержащие (соответственно возрасту), зубные нити (флоссы), фторидсодержащие ополаскиватели.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Приложение № 2. Общие рекомендации по подбору средств гигиены в зависимости от стоматологического статуса пациента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лечения кариеса эмали в стадии пятна пациенту проводят курс _____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противовоспалительной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антигистаминной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десенсибилизирующей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реминерализующей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реминерализующей</w:t>
      </w:r>
    </w:p>
    <w:p>
      <w:pPr>
        <w:ind w:left="504"/>
      </w:pPr>
      <w:r>
        <w:rPr>
          <w:b w:val="0"/>
          <w:i/>
        </w:rPr>
        <w:t>Основными методами лечения кариеса эмали в стадии пятна является реминерализующая терапия и фторирование (уровень убедительности доказательств В).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6.1.8. Характеристика алгоритмов и особенностей применения медикаментов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Курс реминерализующей терапии в данной клинической ситуации состоит из _____ аппликаций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10-15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5-10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2-5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20-25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10-15</w:t>
      </w:r>
    </w:p>
    <w:p>
      <w:pPr>
        <w:ind w:left="504"/>
      </w:pPr>
      <w:r>
        <w:rPr>
          <w:b w:val="0"/>
          <w:i/>
        </w:rPr>
        <w:t>Основными методами лечения кариеса эмали в стадии пятна является реминерализующая терапия и фторирование (уровень убедительности доказательств В).</w:t>
        <w:br/>
        <w:t>Курс реминерализующей терапии состоит из 10-15 аппликаций (ежедневно или через день).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6.1.8. Характеристика алгоритмов и особенностей применения медикаментов. Реминерализующая терапия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После аппликации реминерализующим средством пациенту рекомендуют не принимать пищу в 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20-30 минут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1-1,5 часов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2-3 часов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10-15 минут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2-3 часов</w:t>
      </w:r>
    </w:p>
    <w:p>
      <w:pPr>
        <w:ind w:left="504"/>
      </w:pPr>
      <w:r>
        <w:rPr>
          <w:b w:val="0"/>
          <w:i/>
        </w:rPr>
        <w:t>После проведения процедуры больному рекомендуют не принимать пищу в течение 2-3 часов.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6.1.8. Характеристика алгоритмов и особенностей применения медикаментов. Реминерализующая терапия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Длительность индивидуальной чистки зубов составляет _____ минуты/минут/минуту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Длительность чистки составляет 3 минуты.</w:t>
        <w:br/>
        <w:br/>
      </w:r>
      <w:hyperlink r:id="rId10">
        <w:r>
          <w:rPr>
            <w:color w:val="0F766E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Кариес зубов, 2018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п. 6.1.6. Характеристика алгоритмов и особенностей выполнения немедикаментозной помощи. Алгоритм обучения гигиене рта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hyperlink" Target="https://library.mededtech.ru/rest/documents/4_karies_8aug2018/index.html" TargetMode="External"/><Relationship Id="rId11" Type="http://schemas.openxmlformats.org/officeDocument/2006/relationships/hyperlink" Target="https://library.mededtech.ru/rest/documents/4_karies_8aug2018/index.html#6_1_3_&#1090;&#1088;&#1077;&#1073;&#1086;&#1074;&#1072;&#1085;&#1080;&#1103;_&#1082;_&#1076;&#1080;&#1072;&#1075;&#1085;&#1086;&#1089;&#1090;&#1080;&#1082;&#1077;_&#1072;&#1084;&#1073;&#1091;&#1083;&#1072;&#1090;&#1086;&#1088;&#1085;&#1086;_&#1087;&#1086;&#1083;&#1080;&#1082;&#1083;&#1080;&#1085;&#1080;&#1095;&#1077;&#1089;&#1082;&#1086;&#1081;" TargetMode="External"/><Relationship Id="rId12" Type="http://schemas.openxmlformats.org/officeDocument/2006/relationships/hyperlink" Target="https://library.mededtech.ru/rest/documents/4_karies_8aug2018/index.html#6_1_&#1084;&#1086;&#1076;&#1077;&#1083;&#1100;_&#1087;&#1072;&#1094;&#1080;&#1077;&#1085;&#1090;&#1072;" TargetMode="External"/><Relationship Id="rId13" Type="http://schemas.openxmlformats.org/officeDocument/2006/relationships/hyperlink" Target="https://library.mededtech.ru/rest/documents/4_karies_8aug2018/index.html#paragraph_5s6h3" TargetMode="External"/><Relationship Id="rId14" Type="http://schemas.openxmlformats.org/officeDocument/2006/relationships/hyperlink" Target="https://library.mededtech.ru/rest/documents/4_karies_8aug2018/index.html#table_kilk1" TargetMode="External"/><Relationship Id="rId15" Type="http://schemas.openxmlformats.org/officeDocument/2006/relationships/hyperlink" Target="https://library.mededtech.ru/rest/documents/ISBN9785970453186/?anchor=list_item_cka22j#list_item_cka22j" TargetMode="External"/><Relationship Id="rId16" Type="http://schemas.openxmlformats.org/officeDocument/2006/relationships/hyperlink" Target="https://library.mededtech.ru/rest/documents/4_karies_8aug2018/index.html#paragraph_n76g1" TargetMode="External"/><Relationship Id="rId17" Type="http://schemas.openxmlformats.org/officeDocument/2006/relationships/hyperlink" Target="https://library.mededtech.ru/rest/documents/4_karies_8aug2018/index.html#paragraph_dmp22" TargetMode="External"/><Relationship Id="rId18" Type="http://schemas.openxmlformats.org/officeDocument/2006/relationships/hyperlink" Target="https://library.mededtech.ru/rest/documents/4_karies_8aug2018/index.html#paragraph_rr4f7" TargetMode="External"/><Relationship Id="rId19" Type="http://schemas.openxmlformats.org/officeDocument/2006/relationships/hyperlink" Target="https://library.mededtech.ru/rest/documents/4_karies_8aug2018/index.html#paragraph_p80u6" TargetMode="External"/><Relationship Id="rId20" Type="http://schemas.openxmlformats.org/officeDocument/2006/relationships/hyperlink" Target="https://library.mededtech.ru/rest/documents/4_karies_8aug2018/index.html#paragraph_6dds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